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60716BBD" w14:textId="7D90DCDB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3975A8DB" w14:textId="77777777" w:rsidR="00116316" w:rsidRDefault="00116316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Graça,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Iwan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Riku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Pr="0065456B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5456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1C3B2868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9EAD795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E0E893F" w14:textId="2489EA36" w:rsidR="007E748B" w:rsidRPr="0065456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6DA80752" w:rsidR="00324569" w:rsidRPr="0065456B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DDC188" w14:textId="3A9EB027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101DAAF5" w:rsidR="007E748B" w:rsidRPr="0065456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356A5E8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2041DE8F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1F230578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0D674CC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58E1612E" w:rsidR="00566666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10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A6DBB9" w14:textId="3DAFE9BF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6E8105F5" w:rsidR="00566666" w:rsidRPr="0065456B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5DB6A12" w14:textId="57FBA782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1B0FF93B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5CA4038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2A4D11E2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3351DB05" w:rsidR="00566666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30105" w14:textId="395646FB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565700" w:rsidR="00566666" w:rsidRPr="0065456B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Pr="0065456B" w:rsidRDefault="002F0727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492ACD" w14:textId="51447EE4" w:rsidR="002F0727" w:rsidRPr="0065456B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 w:rsidRPr="0065456B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1855CD56" w:rsidR="002F0727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27940A53" w:rsidR="00566666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09043EE1" w:rsidR="00E312DF" w:rsidRPr="0065456B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16 | Comparison of trend estimates between meta-analysis models</w:t>
      </w:r>
      <w:r w:rsidR="006A32D5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3351DD11" w:rsidR="00E312DF" w:rsidRPr="0065456B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20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17 | Jackknife</w:t>
      </w:r>
      <w:r w:rsidR="00281F02" w:rsidRPr="0065456B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549B3C42" w:rsidR="00ED246E" w:rsidRPr="0065456B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18 | Distribution over time for sites of a given taxonomic resolution.</w:t>
      </w:r>
    </w:p>
    <w:p w14:paraId="21FBD9D1" w14:textId="77777777" w:rsidR="00281F02" w:rsidRPr="0065456B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24454F9" w14:textId="371FC4AF" w:rsidR="00281F02" w:rsidRPr="0065456B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1FC4C770" w:rsidR="00281F02" w:rsidRPr="0065456B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9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65456B">
        <w:rPr>
          <w:rFonts w:ascii="Times New Roman" w:hAnsi="Times New Roman" w:cs="Times New Roman"/>
          <w:bCs/>
          <w:sz w:val="24"/>
          <w:szCs w:val="24"/>
        </w:rPr>
        <w:t>Distribution over time of sites per country in moving window analysis</w:t>
      </w:r>
      <w:r w:rsidR="00AB3C10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78355BD7" w14:textId="06BC0683" w:rsidR="00065C78" w:rsidRPr="0065456B" w:rsidRDefault="00AB3C10" w:rsidP="00B1710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20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Distribution over time for sites of a given taxonomic resolution in moving window analysis.</w:t>
      </w:r>
    </w:p>
    <w:p w14:paraId="303E6030" w14:textId="555E61A6" w:rsidR="00F017C9" w:rsidRPr="0065456B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1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Estimates of the effect of year on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rends in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moving window analysis</w:t>
      </w:r>
      <w:r w:rsidR="003E016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28B1EEBB" w:rsidR="00F017C9" w:rsidRPr="0065456B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2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High threshold moving window analysis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EADE8BF" w14:textId="07FD9053" w:rsidR="00116316" w:rsidRPr="0065456B" w:rsidRDefault="001850FB" w:rsidP="00185E5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lastRenderedPageBreak/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3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Moving window analysis of sites with species level community resolution.</w:t>
      </w:r>
    </w:p>
    <w:p w14:paraId="020CABEC" w14:textId="16C505D6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4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taxon richness trends in moving window analysis by country.</w:t>
      </w:r>
    </w:p>
    <w:p w14:paraId="17392DE4" w14:textId="32EF91E0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5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abundance trends in moving window analysis by country.</w:t>
      </w:r>
    </w:p>
    <w:p w14:paraId="23A9E2C9" w14:textId="67D7A039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185E52" w:rsidRPr="0065456B">
        <w:rPr>
          <w:rFonts w:ascii="Times New Roman" w:hAnsi="Times New Roman" w:cs="Times New Roman"/>
          <w:b/>
          <w:sz w:val="24"/>
          <w:szCs w:val="24"/>
        </w:rPr>
        <w:t>2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6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richness trends in moving window analysis by country.</w:t>
      </w:r>
    </w:p>
    <w:p w14:paraId="4C59DABB" w14:textId="2CC31BB3" w:rsid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30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7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redundancy trends in moving window analysis by country.</w:t>
      </w:r>
    </w:p>
    <w:p w14:paraId="185BA033" w14:textId="77777777" w:rsidR="0065456B" w:rsidRPr="0065456B" w:rsidRDefault="0065456B" w:rsidP="0065456B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8093981" w14:textId="7435E247" w:rsidR="0065456B" w:rsidRPr="0065456B" w:rsidRDefault="0065456B" w:rsidP="0065456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marginal effects</w:t>
      </w:r>
    </w:p>
    <w:p w14:paraId="3EBC6679" w14:textId="30B4CB87" w:rsidR="001850F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28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maximum temperatures on biodiversity metrics.</w:t>
      </w:r>
    </w:p>
    <w:p w14:paraId="249A659F" w14:textId="0CD20D3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29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temperature trends on biodiversity metrics.</w:t>
      </w:r>
    </w:p>
    <w:p w14:paraId="523938C3" w14:textId="59BF1E0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30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annual precipitation rates on biodiversity metrics.</w:t>
      </w:r>
    </w:p>
    <w:p w14:paraId="78436CEC" w14:textId="651B2C0C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31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precipitation trends on biodiversity metrics.</w:t>
      </w:r>
    </w:p>
    <w:p w14:paraId="4DB6A301" w14:textId="6534E9A8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32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dam impact scores on biodiversity metrics.</w:t>
      </w:r>
    </w:p>
    <w:p w14:paraId="72982E35" w14:textId="000F9B06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33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urban areas on biodiversity metrics.</w:t>
      </w:r>
    </w:p>
    <w:p w14:paraId="2409BCBD" w14:textId="2C147457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34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crop areas on biodiversity metrics.</w:t>
      </w:r>
    </w:p>
    <w:p w14:paraId="00480F4D" w14:textId="677FA8BB" w:rsidR="00324569" w:rsidRPr="00CD0DF2" w:rsidRDefault="00CD0DF2" w:rsidP="00CD0DF2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026C1014" w14:textId="691E84E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="009F285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DD9484" wp14:editId="5BC054B1">
            <wp:extent cx="5943600" cy="5094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8A8" w14:textId="1EC2282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  <w:r w:rsidR="001163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16316" w:rsidRPr="00116316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r w:rsidR="001163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points shows the number of sampling years for each time series</w:t>
      </w:r>
      <w:r w:rsidR="00CD0DF2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3029E3B4" w:rsidR="0052086F" w:rsidRDefault="00A30AD3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2114CDA" wp14:editId="5891BDD9">
            <wp:extent cx="5943600" cy="5094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60C" w14:textId="295D8315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  <w:r w:rsidR="00A30AD3">
        <w:rPr>
          <w:rFonts w:ascii="Times New Roman" w:eastAsia="Times New Roman" w:hAnsi="Times New Roman" w:cs="Times New Roman"/>
          <w:sz w:val="24"/>
          <w:szCs w:val="24"/>
        </w:rPr>
        <w:t xml:space="preserve"> The color gradient follows a log-scale due to extreme trend outliers.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0CE75569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465E6" wp14:editId="74F9E73F">
            <wp:extent cx="5943600" cy="5943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6F4D5EF8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414CB4" wp14:editId="17995F3D">
            <wp:extent cx="5943600" cy="27019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3F378BA3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F4BA97" wp14:editId="129E1ADA">
            <wp:extent cx="5943600" cy="5943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284E7FA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C46551" wp14:editId="03F0E868">
            <wp:extent cx="5943600" cy="5943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515B9BE7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78CD93" wp14:editId="13D72FD8">
            <wp:extent cx="5943600" cy="5943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BB6" w14:textId="548CC923" w:rsidR="00987A85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F5B16F7" w14:textId="605C5A45" w:rsidR="001758CE" w:rsidRDefault="00987A85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6D4E9" w14:textId="69F9FF94" w:rsidR="00CD0DF2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36CEC13C" w14:textId="77777777" w:rsidR="00CD0DF2" w:rsidRDefault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8FC168E" w14:textId="59C2DA8D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745DD" wp14:editId="49A15008">
            <wp:extent cx="5943600" cy="5943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58C66A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EE129E" wp14:editId="2DA960B9">
            <wp:extent cx="5943600" cy="27019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1F9C64DC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D61BA5" wp14:editId="2F570509">
            <wp:extent cx="5943600" cy="5069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5EC8D3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6442C8" wp14:editId="3404F110">
            <wp:extent cx="5943600" cy="5943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09E5" w14:textId="198A659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CC0BEF1" w14:textId="096A2CF9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494C050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2ADE410F" w14:textId="2B729EEA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E0512CF" w14:textId="558EE00F" w:rsidR="00804943" w:rsidRDefault="009F7ABB" w:rsidP="00804943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5368E7E" wp14:editId="745A136D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E2B" w14:textId="67472EE7" w:rsidR="00804943" w:rsidRDefault="00804943" w:rsidP="00804943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="009F7ABB" w:rsidRPr="009F7ABB">
        <w:rPr>
          <w:color w:val="000000" w:themeColor="text1"/>
        </w:rPr>
        <w:t>Points falling in the grey polygon indicate negative trends. The red line shows the linear regression relationship between number of years sampled and estimates and the 95% CI are shown as a pink polygon.</w:t>
      </w:r>
    </w:p>
    <w:p w14:paraId="0A8C6BFD" w14:textId="481784C7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6431BA00" w14:textId="5C192BEC" w:rsidR="001610AA" w:rsidRDefault="009F7ABB" w:rsidP="001610AA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CB6F37F" wp14:editId="659C32BD">
            <wp:extent cx="5943600" cy="5094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9D1" w14:textId="494DA527" w:rsidR="001610AA" w:rsidRDefault="001610AA" w:rsidP="001610AA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</w:t>
      </w:r>
      <w:r w:rsidR="009F7ABB" w:rsidRPr="009F7ABB">
        <w:rPr>
          <w:color w:val="000000" w:themeColor="text1"/>
        </w:rPr>
        <w:t xml:space="preserve">Points falling in the grey polygon indicate negative trends. The red line shows the linear regression relationship between </w:t>
      </w:r>
      <w:r w:rsidR="009F7ABB">
        <w:rPr>
          <w:color w:val="000000" w:themeColor="text1"/>
        </w:rPr>
        <w:t>the first sampling year</w:t>
      </w:r>
      <w:r w:rsidR="009F7ABB" w:rsidRPr="009F7ABB">
        <w:rPr>
          <w:color w:val="000000" w:themeColor="text1"/>
        </w:rPr>
        <w:t xml:space="preserve"> sampled and estimates and the 95% CI are shown as a pink polygon.</w:t>
      </w:r>
    </w:p>
    <w:p w14:paraId="5ACAE9D9" w14:textId="357A162E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27B1AF37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311B4E43" w14:textId="7F963947" w:rsid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0EC13A75" w14:textId="25EC4BCF" w:rsidR="00ED246E" w:rsidRDefault="00CD0DF2" w:rsidP="0052086F">
      <w:pPr>
        <w:rPr>
          <w:bCs/>
        </w:rPr>
      </w:pPr>
      <w:r>
        <w:rPr>
          <w:bCs/>
        </w:rPr>
        <w:br w:type="page"/>
      </w: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75250B9A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E478FEB" w14:textId="0A68E618" w:rsidR="00CD0DF2" w:rsidRPr="00CD0DF2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68308F37" w:rsidR="00CD0DF2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121C713B" w14:textId="7011DC7F" w:rsidR="006A32D5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90F7808" w14:textId="1D04BDF7" w:rsidR="006A1692" w:rsidRDefault="003B7E95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9F87A48" wp14:editId="669C8B32">
            <wp:extent cx="5943600" cy="509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1CEF62A4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185E52" w:rsidRPr="00185E52">
        <w:rPr>
          <w:rFonts w:ascii="Times New Roman" w:hAnsi="Times New Roman" w:cs="Times New Roman"/>
          <w:b/>
          <w:sz w:val="24"/>
          <w:szCs w:val="24"/>
        </w:rPr>
        <w:t>Estimates of the effect of year on trends in moving window analysis</w:t>
      </w:r>
      <w:r w:rsidRPr="00185E52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Estimates of the effect of year on moving window trends of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, functio</w:t>
      </w:r>
      <w:r w:rsidR="00472DC8" w:rsidRPr="003B7E95">
        <w:rPr>
          <w:rFonts w:ascii="Times New Roman" w:hAnsi="Times New Roman" w:cs="Times New Roman"/>
          <w:sz w:val="24"/>
          <w:szCs w:val="24"/>
        </w:rPr>
        <w:t>nal redundancy</w:t>
      </w:r>
      <w:r w:rsidR="00185E52" w:rsidRPr="003B7E95">
        <w:rPr>
          <w:rFonts w:ascii="Times New Roman" w:hAnsi="Times New Roman" w:cs="Times New Roman"/>
          <w:sz w:val="24"/>
          <w:szCs w:val="24"/>
        </w:rPr>
        <w:t xml:space="preserve">. </w:t>
      </w:r>
      <w:r w:rsidR="003B7E95" w:rsidRPr="003B7E95">
        <w:rPr>
          <w:rFonts w:ascii="Times New Roman" w:hAnsi="Times New Roman" w:cs="Times New Roman"/>
          <w:sz w:val="24"/>
          <w:szCs w:val="24"/>
        </w:rPr>
        <w:t>Error bars around model estimates indicate 80%, 90%, and 95% credible intervals.</w:t>
      </w:r>
      <w:r w:rsidR="003B7E95" w:rsidRPr="003B7E95"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The negative estimates found for taxon and functional richness indicate a reduction in trends over time (</w:t>
      </w:r>
      <w:proofErr w:type="gramStart"/>
      <w:r w:rsidR="00185E52">
        <w:rPr>
          <w:rFonts w:ascii="Times New Roman" w:hAnsi="Times New Roman" w:cs="Times New Roman"/>
          <w:color w:val="000000"/>
          <w:sz w:val="24"/>
          <w:szCs w:val="24"/>
        </w:rPr>
        <w:t>i.e.</w:t>
      </w:r>
      <w:proofErr w:type="gramEnd"/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a shift from positive trends with windows in the 1990s to net zero trends for windows in the 2010s).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Estimates corresponded to an average reduction of 8.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8%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="00106EFE">
        <w:rPr>
          <w:rFonts w:ascii="Times New Roman" w:hAnsi="Times New Roman" w:cs="Times New Roman"/>
          <w:color w:val="000000"/>
          <w:sz w:val="24"/>
          <w:szCs w:val="24"/>
        </w:rPr>
        <w:t>taxon</w:t>
      </w:r>
      <w:proofErr w:type="spellEnd"/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 and a reduction of 5.9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functional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. Overlapping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error bars of estimates for abundance and functional redundancy indicate no strong linear change in trend trajectories.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See Figure 3 in the main manuscript for ch</w:t>
      </w:r>
      <w:r w:rsidR="005873AF">
        <w:rPr>
          <w:rFonts w:ascii="Times New Roman" w:hAnsi="Times New Roman" w:cs="Times New Roman"/>
          <w:color w:val="000000"/>
          <w:sz w:val="24"/>
          <w:szCs w:val="24"/>
        </w:rPr>
        <w:t>ange in moving window trends over time.</w:t>
      </w:r>
    </w:p>
    <w:p w14:paraId="05DD7C1F" w14:textId="15799955" w:rsidR="006A32D5" w:rsidRP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7F3DB2AB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5D609AC" w14:textId="75B9441A" w:rsidR="006A32D5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A110855" w14:textId="154B9C27" w:rsidR="001850FB" w:rsidRDefault="00604837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243EF" wp14:editId="746117EB">
            <wp:extent cx="5943600" cy="482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56557442" w:rsidR="00CD0DF2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3</w:t>
      </w:r>
      <w:r w:rsidRPr="001850FB">
        <w:rPr>
          <w:rFonts w:ascii="Times New Roman" w:hAnsi="Times New Roman" w:cs="Times New Roman"/>
          <w:b/>
          <w:sz w:val="24"/>
          <w:szCs w:val="24"/>
        </w:rPr>
        <w:t xml:space="preserve">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Years were included when they represented a minimum of 200 sites.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60D7EABE" w14:textId="3D9DA795" w:rsidR="001850FB" w:rsidRDefault="00CD0DF2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4996E2B3" w14:textId="3E51EB2E" w:rsidR="00E85BEA" w:rsidRPr="00116316" w:rsidRDefault="00E36D87" w:rsidP="001850FB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7B81EF9" wp14:editId="69BCEB34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7AD" w14:textId="3F435367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4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taxon richness trends in moving window analysis by country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Change in number of sites with positive versus negative trends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(in black)</w:t>
      </w:r>
      <w:r>
        <w:rPr>
          <w:rFonts w:ascii="Times New Roman" w:hAnsi="Times New Roman" w:cs="Times New Roman"/>
          <w:bCs/>
          <w:sz w:val="24"/>
          <w:szCs w:val="24"/>
        </w:rPr>
        <w:t xml:space="preserve"> in moving window analysis of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taxon richness for each country: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Blue points and lines show total sites included in each window. </w:t>
      </w:r>
      <w:r>
        <w:rPr>
          <w:rFonts w:ascii="Times New Roman" w:hAnsi="Times New Roman" w:cs="Times New Roman"/>
          <w:color w:val="000000"/>
          <w:sz w:val="24"/>
          <w:szCs w:val="24"/>
        </w:rPr>
        <w:t>Values of 0.5 indicate equal number of sites with positive and negative trends, values &gt;0.5 = more sites with positive versus negative trends, and values &lt;0.5 = less sites with positive versus negative trends.</w:t>
      </w:r>
    </w:p>
    <w:p w14:paraId="0C8401BC" w14:textId="72485D50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82D09B1" w14:textId="23E5C6E0" w:rsidR="00116316" w:rsidRPr="00116316" w:rsidRDefault="00E36D87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10B3A28" wp14:editId="7E5CA5B0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C1B" w14:textId="4C794DCC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5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abundance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abundance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312AA7EF" w14:textId="764BE2D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E920C9" w14:textId="7C08D154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953751B" wp14:editId="21405687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3DC" w14:textId="76368A14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6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richness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richness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23224ED2" w14:textId="5A320DB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5E90199" w14:textId="20DF5FCC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6ADE77" wp14:editId="67A5D1BD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F8C" w14:textId="21DD3B1E" w:rsidR="00116316" w:rsidRP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7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redundancy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redundancy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469999B4" w14:textId="10B6558E" w:rsidR="00EF2F8E" w:rsidRDefault="00EF2F8E">
      <w:pPr>
        <w:rPr>
          <w:bCs/>
        </w:rPr>
      </w:pPr>
      <w:r>
        <w:rPr>
          <w:bCs/>
        </w:rPr>
        <w:br w:type="page"/>
      </w:r>
    </w:p>
    <w:p w14:paraId="624CC0B1" w14:textId="6C406D1B" w:rsidR="007147E9" w:rsidRDefault="007147E9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A68DEE" wp14:editId="1C4A97F8">
            <wp:extent cx="5943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AF90" w14:textId="66322379" w:rsidR="00EF2F8E" w:rsidRPr="007147E9" w:rsidRDefault="00EF2F8E" w:rsidP="00EF2F8E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28 | Marginal effect of mean maximum temperatures on biodiversity metrics.</w:t>
      </w:r>
      <w:r w:rsidR="007147E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147E9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7147E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in response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48CA803E" w14:textId="301CD296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CC7909E" w14:textId="0D746BE2" w:rsidR="007147E9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65B6A22" wp14:editId="5DBE69F1">
            <wp:extent cx="5943600" cy="2584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B35C" w14:textId="4B9D221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29 | Marginal effect of temperature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the slope of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annual temperature from the first to last sampling year. Annual temperature refers to the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3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5F5FA6B7" w14:textId="6F03EC37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489ECA0" w14:textId="49480047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A3F9070" wp14:editId="1EA93793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D103" w14:textId="6B7D93D4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30 | Marginal effect of mean annual precipitation rates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mean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cumulative precipitation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mm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9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79E41755" w14:textId="3A47664E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02C904E" w14:textId="551A8E5D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D4647E" wp14:editId="3A4B56C7">
            <wp:extent cx="594360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E985" w14:textId="0C6DCDD1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31 | Marginal effect of precipitation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n response to the slope of annual precipitation from the first to last sampling year. Annual precipitation refers to the cumulative precipitation (mm)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41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3E60227F" w14:textId="28A8F59A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4E2D2AF" w14:textId="2C9C53D6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4490566" wp14:editId="0A76DCD4">
            <wp:extent cx="59436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7495" w14:textId="1EF7330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32 | Marginal effect of dam impact scores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dam impact scores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calculation of dam impact scores.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3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9183D7A" w14:textId="3CB97730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21E50C5" w14:textId="30C77C95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003389E" wp14:editId="379179CC">
            <wp:extent cx="5943600" cy="2971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B9D" w14:textId="3E1AA34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33 | Marginal effect of mean % upstream urban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urban cover across the sampling years.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details on land cover calculations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1FB34E9" w14:textId="500D515C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9F70E50" w14:textId="364A16BF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3577AE5" wp14:editId="6A7139AB">
            <wp:extent cx="5943600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34D7" w14:textId="4D448ACE" w:rsidR="006A1692" w:rsidRPr="00CD0DF2" w:rsidRDefault="00EF2F8E" w:rsidP="00CD0DF2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34 | Marginal effect of mean % upstream crop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in response to</w:t>
      </w:r>
      <w:r w:rsidR="003518A3" w:rsidRPr="003518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518A3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crop cover across the sampling years. See </w:t>
      </w:r>
      <w:r w:rsidR="003518A3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3518A3">
        <w:rPr>
          <w:rFonts w:ascii="Times New Roman" w:eastAsia="Times New Roman" w:hAnsi="Times New Roman" w:cs="Times New Roman"/>
          <w:sz w:val="24"/>
          <w:szCs w:val="24"/>
        </w:rPr>
        <w:t xml:space="preserve">for details on land cover calculations.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sectPr w:rsidR="006A1692" w:rsidRPr="00CD0DF2"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944EBB" w14:textId="77777777" w:rsidR="002B7C14" w:rsidRDefault="002B7C14" w:rsidP="0052086F">
      <w:pPr>
        <w:spacing w:after="0" w:line="240" w:lineRule="auto"/>
      </w:pPr>
      <w:r>
        <w:separator/>
      </w:r>
    </w:p>
  </w:endnote>
  <w:endnote w:type="continuationSeparator" w:id="0">
    <w:p w14:paraId="5F6A6989" w14:textId="77777777" w:rsidR="002B7C14" w:rsidRDefault="002B7C14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015B8" w14:textId="77777777" w:rsidR="002B7C14" w:rsidRDefault="002B7C14" w:rsidP="0052086F">
      <w:pPr>
        <w:spacing w:after="0" w:line="240" w:lineRule="auto"/>
      </w:pPr>
      <w:r>
        <w:separator/>
      </w:r>
    </w:p>
  </w:footnote>
  <w:footnote w:type="continuationSeparator" w:id="0">
    <w:p w14:paraId="30C1B5C3" w14:textId="77777777" w:rsidR="002B7C14" w:rsidRDefault="002B7C14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8D72CE"/>
    <w:multiLevelType w:val="hybridMultilevel"/>
    <w:tmpl w:val="1B12F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4437E"/>
    <w:multiLevelType w:val="hybridMultilevel"/>
    <w:tmpl w:val="ECC044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4"/>
  </w:num>
  <w:num w:numId="3" w16cid:durableId="387997057">
    <w:abstractNumId w:val="2"/>
  </w:num>
  <w:num w:numId="4" w16cid:durableId="1513102790">
    <w:abstractNumId w:val="3"/>
  </w:num>
  <w:num w:numId="5" w16cid:durableId="5334190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454C4"/>
    <w:rsid w:val="00065C78"/>
    <w:rsid w:val="00106EFE"/>
    <w:rsid w:val="00116316"/>
    <w:rsid w:val="001610AA"/>
    <w:rsid w:val="001758CE"/>
    <w:rsid w:val="00176376"/>
    <w:rsid w:val="001850FB"/>
    <w:rsid w:val="00185E52"/>
    <w:rsid w:val="001A662C"/>
    <w:rsid w:val="001E39CE"/>
    <w:rsid w:val="00204F11"/>
    <w:rsid w:val="00236571"/>
    <w:rsid w:val="00281F02"/>
    <w:rsid w:val="002B7C14"/>
    <w:rsid w:val="002D4B67"/>
    <w:rsid w:val="002F0727"/>
    <w:rsid w:val="00324569"/>
    <w:rsid w:val="00324E48"/>
    <w:rsid w:val="003518A3"/>
    <w:rsid w:val="003B7E95"/>
    <w:rsid w:val="003E0162"/>
    <w:rsid w:val="004265A5"/>
    <w:rsid w:val="004512D0"/>
    <w:rsid w:val="00472DC8"/>
    <w:rsid w:val="0047364F"/>
    <w:rsid w:val="0052086F"/>
    <w:rsid w:val="005241F7"/>
    <w:rsid w:val="00526B03"/>
    <w:rsid w:val="00566666"/>
    <w:rsid w:val="005873AF"/>
    <w:rsid w:val="005A4CB6"/>
    <w:rsid w:val="005B0714"/>
    <w:rsid w:val="00604837"/>
    <w:rsid w:val="00606A2B"/>
    <w:rsid w:val="0065456B"/>
    <w:rsid w:val="006A1692"/>
    <w:rsid w:val="006A32D5"/>
    <w:rsid w:val="006B3F7F"/>
    <w:rsid w:val="0070635A"/>
    <w:rsid w:val="007147E9"/>
    <w:rsid w:val="00716BF2"/>
    <w:rsid w:val="00780C8C"/>
    <w:rsid w:val="007E748B"/>
    <w:rsid w:val="00804943"/>
    <w:rsid w:val="00857464"/>
    <w:rsid w:val="00873739"/>
    <w:rsid w:val="008B7B2E"/>
    <w:rsid w:val="00960116"/>
    <w:rsid w:val="00987A85"/>
    <w:rsid w:val="009B2EC7"/>
    <w:rsid w:val="009F285A"/>
    <w:rsid w:val="009F7ABB"/>
    <w:rsid w:val="00A30AD3"/>
    <w:rsid w:val="00A50526"/>
    <w:rsid w:val="00A92D7B"/>
    <w:rsid w:val="00AB3C10"/>
    <w:rsid w:val="00AC666A"/>
    <w:rsid w:val="00B11608"/>
    <w:rsid w:val="00B17104"/>
    <w:rsid w:val="00B81340"/>
    <w:rsid w:val="00C62714"/>
    <w:rsid w:val="00CC0A0F"/>
    <w:rsid w:val="00CD0DF2"/>
    <w:rsid w:val="00CE45FC"/>
    <w:rsid w:val="00D62A1C"/>
    <w:rsid w:val="00D9117E"/>
    <w:rsid w:val="00E051BD"/>
    <w:rsid w:val="00E14F9E"/>
    <w:rsid w:val="00E312DF"/>
    <w:rsid w:val="00E36D87"/>
    <w:rsid w:val="00E85BEA"/>
    <w:rsid w:val="00ED246E"/>
    <w:rsid w:val="00ED6653"/>
    <w:rsid w:val="00EF2F8E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9" Type="http://schemas.openxmlformats.org/officeDocument/2006/relationships/hyperlink" Target="https://github.com/Ewelti/EuroAquaticMacroInverts" TargetMode="External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42" Type="http://schemas.openxmlformats.org/officeDocument/2006/relationships/image" Target="media/image32.tiff"/><Relationship Id="rId47" Type="http://schemas.openxmlformats.org/officeDocument/2006/relationships/hyperlink" Target="https://github.com/Ewelti/EuroAquaticMacroInverts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9" Type="http://schemas.openxmlformats.org/officeDocument/2006/relationships/image" Target="media/image23.tiff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hyperlink" Target="https://github.com/Ewelti/EuroAquaticMacroInverts" TargetMode="External"/><Relationship Id="rId40" Type="http://schemas.openxmlformats.org/officeDocument/2006/relationships/image" Target="media/image31.tiff"/><Relationship Id="rId45" Type="http://schemas.openxmlformats.org/officeDocument/2006/relationships/hyperlink" Target="https://github.com/Ewelti/EuroAquaticMacroInvert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29.tiff"/><Relationship Id="rId49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4" Type="http://schemas.openxmlformats.org/officeDocument/2006/relationships/image" Target="media/image3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hyperlink" Target="https://github.com/Ewelti/EuroAquaticMacroInverts" TargetMode="External"/><Relationship Id="rId43" Type="http://schemas.openxmlformats.org/officeDocument/2006/relationships/hyperlink" Target="https://github.com/Ewelti/EuroAquaticMacroInverts" TargetMode="External"/><Relationship Id="rId48" Type="http://schemas.openxmlformats.org/officeDocument/2006/relationships/footer" Target="footer1.xml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0.tiff"/><Relationship Id="rId46" Type="http://schemas.openxmlformats.org/officeDocument/2006/relationships/image" Target="media/image34.tiff"/><Relationship Id="rId20" Type="http://schemas.openxmlformats.org/officeDocument/2006/relationships/image" Target="media/image14.tiff"/><Relationship Id="rId41" Type="http://schemas.openxmlformats.org/officeDocument/2006/relationships/hyperlink" Target="https://github.com/Ewelti/EuroAquaticMacroInvert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734</TotalTime>
  <Pages>37</Pages>
  <Words>3556</Words>
  <Characters>20270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29</cp:revision>
  <dcterms:created xsi:type="dcterms:W3CDTF">2022-08-24T22:57:00Z</dcterms:created>
  <dcterms:modified xsi:type="dcterms:W3CDTF">2023-04-28T19:50:00Z</dcterms:modified>
</cp:coreProperties>
</file>